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Jutjat de Primera Instància</w:t>
      </w:r>
      <w:r w:rsidRPr="00E144E3">
        <w:rPr>
          <w:rFonts w:ascii="Arial" w:eastAsia="Times New Roman" w:hAnsi="Arial" w:cs="Arial"/>
          <w:b/>
          <w:bCs/>
          <w:color w:val="00B050"/>
          <w:lang w:val="ca-ES" w:eastAsia="es-ES"/>
        </w:rPr>
        <w:t xml:space="preserve"> núm. XX </w:t>
      </w: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de</w:t>
      </w:r>
      <w:r w:rsidRPr="00E144E3">
        <w:rPr>
          <w:rFonts w:ascii="Arial" w:eastAsia="Times New Roman" w:hAnsi="Arial" w:cs="Arial"/>
          <w:b/>
          <w:bCs/>
          <w:color w:val="0066FF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b/>
          <w:bCs/>
          <w:color w:val="00B050"/>
          <w:lang w:val="ca-ES" w:eastAsia="es-ES"/>
        </w:rPr>
        <w:t>Localitat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Judici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Número del Procediment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es-ES"/>
        </w:rPr>
        <w:t>AL JUTJAT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B40D65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00B050"/>
          <w:lang w:val="ca-ES" w:eastAsia="es-ES"/>
        </w:rPr>
        <w:t>Nom afectat/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da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amb DNI </w:t>
      </w:r>
      <w:proofErr w:type="spellStart"/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xxxxxxx</w:t>
      </w:r>
      <w:proofErr w:type="spellEnd"/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en nom propi i dret, amb domicili a efectes de notificació a 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 xml:space="preserve">carrer número pis 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C.P. XXXXX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>,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 xml:space="preserve"> localitat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davant el Jutjat comparec i com millor procedeixi en Dret, </w:t>
      </w:r>
      <w:r w:rsidR="00E144E3"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DIC: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Que, en data 29 de juliol de 2015, el Parlament de Catalunya va aprovar la Llei 24/2015, de de mesures urgents per a afrontar l'emergència en l'àmbit de l'habitatge i la pobresa energètica, publicada al Diari Oficial de la Generalitat de Catalunya el dia 5 d’agost de 2015. I actualment es troba en vigor després del desistiment parcial del recurs d’inconstitucionalitat núm. 2501-2016 acordat en el Consell de Ministres del 2 de novembre de 2018 i la seva publicació al BOE.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Que mitjançant el present escrit </w:t>
      </w: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interessem la suspensió immediata de les presents actuacions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, en base als següents</w:t>
      </w: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FETS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Primer.- Situació d’emergència </w:t>
      </w:r>
      <w:proofErr w:type="spellStart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Des de l’any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nostra residència habitual es troba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al pis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del carrer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XXXXXXXX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de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localitat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CE5BD7" w:rsidRDefault="00E144E3" w:rsidP="00E144E3">
      <w:pPr>
        <w:spacing w:before="240" w:after="20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Els ingressos familiars s’han vist greument afectats a causa de la prolongada crisi econòmica que viu el país, fet que ha impossibilitat </w:t>
      </w:r>
      <w:r w:rsidR="00CE5BD7" w:rsidRPr="00CE5BD7">
        <w:rPr>
          <w:rFonts w:ascii="Arial" w:eastAsia="Times New Roman" w:hAnsi="Arial" w:cs="Arial"/>
          <w:color w:val="000000"/>
          <w:lang w:val="ca-ES" w:eastAsia="es-ES"/>
        </w:rPr>
        <w:t>fet que ha impossibilitat fer front als pagam</w:t>
      </w:r>
      <w:r w:rsidR="00CE5BD7">
        <w:rPr>
          <w:rFonts w:ascii="Arial" w:eastAsia="Times New Roman" w:hAnsi="Arial" w:cs="Arial"/>
          <w:color w:val="000000"/>
          <w:lang w:val="ca-ES" w:eastAsia="es-ES"/>
        </w:rPr>
        <w:t xml:space="preserve">ents de les quotes </w:t>
      </w:r>
      <w:r w:rsidR="00E9156C">
        <w:rPr>
          <w:rFonts w:ascii="Arial" w:eastAsia="Times New Roman" w:hAnsi="Arial" w:cs="Arial"/>
          <w:color w:val="000000"/>
          <w:lang w:val="ca-ES" w:eastAsia="es-ES"/>
        </w:rPr>
        <w:t>mensuals de lloguer</w:t>
      </w:r>
      <w:r w:rsidR="00CE5BD7" w:rsidRPr="00CE5BD7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En data </w:t>
      </w:r>
      <w:proofErr w:type="spellStart"/>
      <w:r w:rsidRPr="00E144E3">
        <w:rPr>
          <w:rFonts w:ascii="Arial" w:eastAsia="Times New Roman" w:hAnsi="Arial" w:cs="Arial"/>
          <w:color w:val="00B050"/>
          <w:lang w:val="ca-ES" w:eastAsia="es-ES"/>
        </w:rPr>
        <w:t>xxxxxx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em va ser notificada demanda de procediment </w:t>
      </w:r>
      <w:r w:rsidR="00E9156C">
        <w:rPr>
          <w:rFonts w:ascii="Arial" w:eastAsia="Times New Roman" w:hAnsi="Arial" w:cs="Arial"/>
          <w:color w:val="00B050"/>
          <w:lang w:val="ca-ES" w:eastAsia="es-ES"/>
        </w:rPr>
        <w:t>de desnonament per impagament de lloguer</w:t>
      </w:r>
      <w:r w:rsidR="00CE5BD7">
        <w:rPr>
          <w:rFonts w:ascii="Arial" w:eastAsia="Times New Roman" w:hAnsi="Arial" w:cs="Arial"/>
          <w:color w:val="00B050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instada per l’actora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(nom demandant)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. Com a conseqüència d’aquest procediment em va ser notificada diligència de </w:t>
      </w:r>
      <w:r w:rsidRPr="00E144E3">
        <w:rPr>
          <w:rFonts w:ascii="Arial" w:eastAsia="Times New Roman" w:hAnsi="Arial" w:cs="Arial"/>
          <w:color w:val="000000"/>
          <w:u w:val="single"/>
          <w:lang w:val="ca-ES" w:eastAsia="es-ES"/>
        </w:rPr>
        <w:t>llançament senyalat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pel dia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XXX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de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Segon.- Situació de la unitat familiar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La unitat familiar que habita l’habitatge està formada per: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(explicar qui integra la unitat familiar, indicar circumstàncies de salut i adjuntar documents)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La família compta amb els següents ingressos mensuals per al seu manteniment: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(explicar situació laboral i ingressos de la unitat familiar)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Degut a la situació de vulnerabilitat acudeixen a Serveis Socials, qui ha emès Informe que acredita la situació de risc d’exclusió residencial d’acord amb l’article 10 de la Llei 24/2015. (document adjunt)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lastRenderedPageBreak/>
        <w:t>Tercer.- Dificultat d’accés a l’habitatge.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Amb una tendència creixent dels preus dels immobles, les condicions del mercat immobiliari impedeixen l’accés a l’habitatge de les persones en situació de vulnerabilitat. En aquest sentit, el preu del lloguer a Catalunya ha augmentat un 4,4% de mitja el 2019, d’acord amb les dades de la Secretaria d'Habitatge de la Generalitat (a partir de les fiances de lloguer dipositades a l'INCASÒL).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Tanmateix, Catalunya arrossega una històrica manca de polítiques d’habitatge, el que es tradueix amb un escàs parc públic d’habitatge, que no arriba al 2% del parc d’acord amb el Pla Territorial Sectorial d’Habitatge de la Generalitat, molt lluny de la mitjana dels països de l’entorn europeu. A la vegada que és manifestament insuficient per a fer front a l’emergència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que viu Catalunya, el territori lidera un cop més el rànquing de la vergonya dels desnonaments, representant el 23,3% del total estatal el segon semestre del 2019, d’acord a les dades del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Consejo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General del Poder Judicial.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I com anteriorment s’ha manifestat, els ingressos familiars són insuficients per accedir a un habitatge en els actuals termes de mercat, pel que no disposa d’alternativa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FONAMENTS DE DRET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Primer.-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Llei 24/2015, del 29 de juliol, de mesures urgents per a afrontar l'emergència en l'àmbit de l'habitatge i la pobresa energètica, fruit de la mobilització de la ciutadania, contempla, entre d’altres, mesures per a evitar desnonaments i donar resposta a la greu i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cronificada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situació d'emergència social que viu Catalunya, especialment greu en l'àmbit de l'habitatge.</w:t>
      </w:r>
    </w:p>
    <w:p w:rsidR="00CE5BD7" w:rsidRDefault="00E144E3" w:rsidP="00E144E3">
      <w:pPr>
        <w:spacing w:before="240" w:after="20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Després del desistiment parcial del recurs d’inconstitucionalitat núm. 2501-2016, acordat al Consell de Ministres de data 2 de novembre 2018 i la seva publicació al BOE, la citada llei és actualment vigent i d’obligada aplicació. </w:t>
      </w:r>
    </w:p>
    <w:p w:rsidR="00D55D92" w:rsidRPr="00D55D92" w:rsidRDefault="00D55D92" w:rsidP="00D55D92">
      <w:pPr>
        <w:spacing w:before="240" w:after="200" w:line="240" w:lineRule="auto"/>
        <w:jc w:val="both"/>
        <w:rPr>
          <w:rFonts w:ascii="Arial" w:eastAsia="Times New Roman" w:hAnsi="Arial" w:cs="Arial"/>
          <w:b/>
          <w:bCs/>
          <w:color w:val="000000"/>
          <w:lang w:val="ca-ES" w:eastAsia="es-ES"/>
        </w:rPr>
      </w:pPr>
      <w:r w:rsidRPr="00D55D92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Segon.- </w:t>
      </w:r>
      <w:r w:rsidRPr="00D55D92">
        <w:rPr>
          <w:rFonts w:ascii="Arial" w:eastAsia="Times New Roman" w:hAnsi="Arial" w:cs="Arial"/>
          <w:bCs/>
          <w:color w:val="000000"/>
          <w:lang w:val="ca-ES" w:eastAsia="es-ES"/>
        </w:rPr>
        <w:t xml:space="preserve">D'acord amb el que disposa l'article 5 de la llei de referència, el demandant en un procediment </w:t>
      </w:r>
      <w:r w:rsidR="00E9156C">
        <w:rPr>
          <w:rFonts w:ascii="Arial" w:eastAsia="Times New Roman" w:hAnsi="Arial" w:cs="Arial"/>
          <w:bCs/>
          <w:color w:val="000000"/>
          <w:lang w:val="ca-ES" w:eastAsia="es-ES"/>
        </w:rPr>
        <w:t>de desnonament per impagament de lloguer</w:t>
      </w:r>
      <w:r w:rsidRPr="00D55D92">
        <w:rPr>
          <w:rFonts w:ascii="Arial" w:eastAsia="Times New Roman" w:hAnsi="Arial" w:cs="Arial"/>
          <w:bCs/>
          <w:color w:val="000000"/>
          <w:lang w:val="ca-ES" w:eastAsia="es-ES"/>
        </w:rPr>
        <w:t xml:space="preserve"> ha d'oferir un lloguer social als demandats</w:t>
      </w:r>
      <w:r w:rsidR="002B55A6">
        <w:rPr>
          <w:rFonts w:ascii="Arial" w:eastAsia="Times New Roman" w:hAnsi="Arial" w:cs="Arial"/>
          <w:bCs/>
          <w:color w:val="000000"/>
          <w:lang w:val="ca-ES" w:eastAsia="es-ES"/>
        </w:rPr>
        <w:t xml:space="preserve"> abans d'interposar la demanda. </w:t>
      </w:r>
      <w:bookmarkStart w:id="0" w:name="_GoBack"/>
      <w:bookmarkEnd w:id="0"/>
      <w:r w:rsidRPr="00D55D92">
        <w:rPr>
          <w:rFonts w:ascii="Arial" w:eastAsia="Times New Roman" w:hAnsi="Arial" w:cs="Arial"/>
          <w:bCs/>
          <w:color w:val="000000"/>
          <w:lang w:val="ca-ES" w:eastAsia="es-ES"/>
        </w:rPr>
        <w:t xml:space="preserve">Primera: que les persones o unitats familiars afectades pel procediment no tinguin alternativa d'habitatge pròpia i es trobin dins els paràmetres de risc d'exclusió residencial, d’acord l’article 10 de la 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Llei 24/2015,  c</w:t>
      </w:r>
      <w:r w:rsidRPr="00D55D92">
        <w:rPr>
          <w:rFonts w:ascii="Arial" w:eastAsia="Times New Roman" w:hAnsi="Arial" w:cs="Arial"/>
          <w:bCs/>
          <w:color w:val="000000"/>
          <w:lang w:val="ca-ES" w:eastAsia="es-ES"/>
        </w:rPr>
        <w:t xml:space="preserve">ircumstància que haurà de ser comprovada pel mateix demandant. Segona: que el demandant reuneixi la condició de gran tenidor d'habitatge (definida a l’article 5.9 de la 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Llei</w:t>
      </w:r>
      <w:r w:rsidRPr="00D55D92">
        <w:rPr>
          <w:rFonts w:ascii="Arial" w:eastAsia="Times New Roman" w:hAnsi="Arial" w:cs="Arial"/>
          <w:bCs/>
          <w:color w:val="000000"/>
          <w:lang w:val="ca-ES" w:eastAsia="es-ES"/>
        </w:rPr>
        <w:t>) o sigui una persona jurídica que hagi adquirit, després del 30 d'abril del 2008, habitatges provinents execucions hipotecàries o acords de compensació de deutes, de dacions en pagament o de compravendes que tinguin per causa la impossibilitat de tornar el préstec hipotecari, en els cas de dació en pagament.</w:t>
      </w:r>
    </w:p>
    <w:p w:rsidR="00D55D92" w:rsidRDefault="00D55D92" w:rsidP="00D55D92">
      <w:pPr>
        <w:spacing w:before="240" w:after="200" w:line="240" w:lineRule="auto"/>
        <w:jc w:val="both"/>
        <w:rPr>
          <w:rFonts w:ascii="Arial" w:eastAsia="Times New Roman" w:hAnsi="Arial" w:cs="Arial"/>
          <w:b/>
          <w:bCs/>
          <w:color w:val="000000"/>
          <w:lang w:val="ca-ES" w:eastAsia="es-ES"/>
        </w:rPr>
      </w:pPr>
      <w:r w:rsidRPr="00D55D92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Tercer.- </w:t>
      </w:r>
      <w:r w:rsidRPr="00D55D92">
        <w:rPr>
          <w:rFonts w:ascii="Arial" w:eastAsia="Times New Roman" w:hAnsi="Arial" w:cs="Arial"/>
          <w:bCs/>
          <w:color w:val="000000"/>
          <w:lang w:val="ca-ES" w:eastAsia="es-ES"/>
        </w:rPr>
        <w:t xml:space="preserve">Tanmateix, segons 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el que estableix la Disposició t</w:t>
      </w:r>
      <w:r w:rsidR="002B55A6">
        <w:rPr>
          <w:rFonts w:ascii="Arial" w:eastAsia="Times New Roman" w:hAnsi="Arial" w:cs="Arial"/>
          <w:bCs/>
          <w:color w:val="000000"/>
          <w:lang w:val="ca-ES" w:eastAsia="es-ES"/>
        </w:rPr>
        <w:t>ransitòria s</w:t>
      </w:r>
      <w:r w:rsidRPr="00D55D92">
        <w:rPr>
          <w:rFonts w:ascii="Arial" w:eastAsia="Times New Roman" w:hAnsi="Arial" w:cs="Arial"/>
          <w:bCs/>
          <w:color w:val="000000"/>
          <w:lang w:val="ca-ES" w:eastAsia="es-ES"/>
        </w:rPr>
        <w:t>egona de la citada norma, el demandant o executant en un procedim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ent d'execució hipotecària que estigui</w:t>
      </w:r>
      <w:r w:rsidRPr="00D55D92">
        <w:rPr>
          <w:rFonts w:ascii="Arial" w:eastAsia="Times New Roman" w:hAnsi="Arial" w:cs="Arial"/>
          <w:bCs/>
          <w:color w:val="000000"/>
          <w:lang w:val="ca-ES" w:eastAsia="es-ES"/>
        </w:rPr>
        <w:t xml:space="preserve"> en tràmit de substanciació o execució en el moment d'entrar en vigor aquesta llei tenen l'obligació d'oferir lloguer social abans d'adquirir l’habitatge. Obligació imperativa sempre que compleixin la doble condició fixada per l'article 5 de la 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Llei 24/2015</w:t>
      </w:r>
      <w:r w:rsidRPr="00D55D92">
        <w:rPr>
          <w:rFonts w:ascii="Arial" w:eastAsia="Times New Roman" w:hAnsi="Arial" w:cs="Arial"/>
          <w:bCs/>
          <w:color w:val="000000"/>
          <w:lang w:val="ca-ES" w:eastAsia="es-ES"/>
        </w:rPr>
        <w:t xml:space="preserve">: que el demandant sigui un gran tenidor d'habitatge o una persona jurídica que ha adquirit habitatges després del 30 d'abril del 2008 provinents 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d’</w:t>
      </w:r>
      <w:r w:rsidRPr="00D55D92">
        <w:rPr>
          <w:rFonts w:ascii="Arial" w:eastAsia="Times New Roman" w:hAnsi="Arial" w:cs="Arial"/>
          <w:bCs/>
          <w:color w:val="000000"/>
          <w:lang w:val="ca-ES" w:eastAsia="es-ES"/>
        </w:rPr>
        <w:t xml:space="preserve">execucions hipotecàries o acords de compensació de deutes, de dacions en pagament o de compravendes que tinguin per causa la impossibilitat de tornar el préstec hipotecari, i que les persones o unitats </w:t>
      </w:r>
      <w:r w:rsidRPr="00D55D92">
        <w:rPr>
          <w:rFonts w:ascii="Arial" w:eastAsia="Times New Roman" w:hAnsi="Arial" w:cs="Arial"/>
          <w:bCs/>
          <w:color w:val="000000"/>
          <w:lang w:val="ca-ES" w:eastAsia="es-ES"/>
        </w:rPr>
        <w:lastRenderedPageBreak/>
        <w:t>familiars afectades pel procediment no tinguin alternativa d'habitatge pròpia i es trobin dins els paràmetres d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e risc d'exclusió residencial, circumstància</w:t>
      </w:r>
      <w:r w:rsidRPr="00D55D92">
        <w:rPr>
          <w:rFonts w:ascii="Arial" w:eastAsia="Times New Roman" w:hAnsi="Arial" w:cs="Arial"/>
          <w:bCs/>
          <w:color w:val="000000"/>
          <w:lang w:val="ca-ES" w:eastAsia="es-ES"/>
        </w:rPr>
        <w:t xml:space="preserve"> que haurà d’esser sempre comprovada pel mateix demandant.</w:t>
      </w:r>
    </w:p>
    <w:p w:rsidR="00E144E3" w:rsidRPr="00E144E3" w:rsidRDefault="00E144E3" w:rsidP="00D55D92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Quart.-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La part actora en el proce</w:t>
      </w:r>
      <w:r w:rsidR="00E9156C">
        <w:rPr>
          <w:rFonts w:ascii="Arial" w:eastAsia="Times New Roman" w:hAnsi="Arial" w:cs="Arial"/>
          <w:color w:val="000000"/>
          <w:lang w:val="ca-ES" w:eastAsia="es-ES"/>
        </w:rPr>
        <w:t xml:space="preserve">diment mencionat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té la condició de gran tenidor d'habitatges. L'article 5.9 a) de la Llei 24/2015 defineix com a grans tenidors les entitats financeres, les seves filials immobiliàries, els fons d'inversió i les entitats de gestió d'actius, inclosos els procedents de reestructuració bancària, d'acord la legislació mercantil vigent, </w:t>
      </w:r>
      <w:r w:rsidR="00D55D92" w:rsidRPr="00D55D92">
        <w:rPr>
          <w:rFonts w:ascii="Arial" w:eastAsia="Times New Roman" w:hAnsi="Arial" w:cs="Arial"/>
          <w:color w:val="000000"/>
          <w:lang w:val="ca-ES" w:eastAsia="es-ES"/>
        </w:rPr>
        <w:t xml:space="preserve">i les persones jurídiques que, per si soles o </w:t>
      </w:r>
      <w:r w:rsidR="00D55D92">
        <w:rPr>
          <w:rFonts w:ascii="Arial" w:eastAsia="Times New Roman" w:hAnsi="Arial" w:cs="Arial"/>
          <w:color w:val="000000"/>
          <w:lang w:val="ca-ES" w:eastAsia="es-ES"/>
        </w:rPr>
        <w:t xml:space="preserve">a </w:t>
      </w:r>
      <w:r w:rsidR="00D55D92" w:rsidRPr="00D55D92">
        <w:rPr>
          <w:rFonts w:ascii="Arial" w:eastAsia="Times New Roman" w:hAnsi="Arial" w:cs="Arial"/>
          <w:color w:val="000000"/>
          <w:lang w:val="ca-ES" w:eastAsia="es-ES"/>
        </w:rPr>
        <w:t xml:space="preserve">través d'un grup d'empreses, siguin titulars de més de </w:t>
      </w:r>
      <w:r w:rsidR="00D55D92">
        <w:rPr>
          <w:rFonts w:ascii="Arial" w:eastAsia="Times New Roman" w:hAnsi="Arial" w:cs="Arial"/>
          <w:color w:val="000000"/>
          <w:lang w:val="ca-ES" w:eastAsia="es-ES"/>
        </w:rPr>
        <w:t>15 habitatges</w:t>
      </w:r>
      <w:r w:rsidR="00D55D92" w:rsidRPr="00D55D92">
        <w:rPr>
          <w:rFonts w:ascii="Arial" w:eastAsia="Times New Roman" w:hAnsi="Arial" w:cs="Arial"/>
          <w:color w:val="000000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i el Decret llei 17/2019 introdueix també els fons de capital risc i de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titulització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d’actius</w:t>
      </w:r>
      <w:r w:rsidR="00E9156C">
        <w:rPr>
          <w:rFonts w:ascii="Arial" w:eastAsia="Times New Roman" w:hAnsi="Arial" w:cs="Arial"/>
          <w:color w:val="000000"/>
          <w:lang w:val="ca-ES" w:eastAsia="es-ES"/>
        </w:rPr>
        <w:t>, així com les persones físiques que disposin de la titularitat de més de 15 habitatges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Essent la demandant persona </w:t>
      </w:r>
      <w:r w:rsidR="00E9156C">
        <w:rPr>
          <w:rFonts w:ascii="Arial" w:eastAsia="Times New Roman" w:hAnsi="Arial" w:cs="Arial"/>
          <w:color w:val="000000"/>
          <w:lang w:val="ca-ES" w:eastAsia="es-ES"/>
        </w:rPr>
        <w:t xml:space="preserve">física o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jurídica</w:t>
      </w:r>
      <w:r w:rsidR="00E9156C">
        <w:rPr>
          <w:rFonts w:ascii="Arial" w:eastAsia="Times New Roman" w:hAnsi="Arial" w:cs="Arial"/>
          <w:color w:val="000000"/>
          <w:lang w:val="ca-ES" w:eastAsia="es-ES"/>
        </w:rPr>
        <w:t xml:space="preserve"> considerada com a gran tenidor d’habitatge,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es presumeix que no concorren raons d’urgència i necessitat per prendre possessió de l’immoble, i pel contrari, sí s’acrediten motius d’urgència social en la part demandada que aconsellen la suspensió del llançament fins que obtingui una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adequada a les circumstàncies de la unitat familiar, ponderant els drets en judici per a no causar mals majors i irreparables.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Cinquè.-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part demandant ha incomplert l’imperatiu legal de comprovar prèviament si els afectats es troben en situació de risc d'exclusió residencial així com a realitzar oferta de lloguer social en els termes que estableix el precepte 5 de la Llei 24/2015.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Sisè.-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L’article 47 de la Constitució (CE) reconeix expressament el dret a l’habitatge digne i adequat i el vincula a l’obligació dels poders públics d’impedir l’especulació. A la vegada, imposa els deure de garantir que el dret de propietat no s’exerceixi de manera antisocial en l’article 33, i subordina la riquesa a l’interès general en el seu article 128.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Si bé l’article 47 CE s’ubica al Capítol III del Títol I, “Dels principis Rectors de la Política Social Econòmica”, en la línia de la recent jurisprudència res impedeix reconèixer elements de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fonamentalitat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, ja que el dret a habitatge digne i adequat està en la norma de major rang en el nostre ordenament jurídic i definit en el Títol I: “De Drets i deures fonamentals”.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L’article 148.1.3 de la Constitució atorga a les comunitats autònomes la potestat d’assumir competències en matèria d’habitatge, que en el cas de Catalunya ha estat assumida la competència en l’article 137 de l’Estatut d’Autonomia.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I d’acord a l’article 5 de l’Estatut d’Autonomia totes les persones tenen dret a viure lliures de situacions d’explotació i maltractament, com de facto comporta la manca d’habitatge digne.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Setè.-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Els tractats internacionals en matèria de Drets Humans ratificats per Espanya formen part de l’ordenament intern, tal com estableix l’article 96.1 CE, i son, juntament amb la Declaració Universal de Drets Humans, un criteri decisiu per a la interpretació dels drets fonamentals i garanties reconegudes en la Constitució (article 10.2 CE). Segons estableix l’article 31 de la Llei 25/2014, de 27 de novembre, de Tractats i altres acords Internacional, en cas de conflicte o dubte interpretatiu amb una norma de dret intern, preval el Tractat internacional.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El Pacte Internacional de Drets Econòmics, Socials i Culturals (PIDESC), firmat per Espanya l’any 2008 i en vigor des de l’any 2013, reconeix el dret a l’habitatge digne en l’article 11; i en virtut del Protocol Facultatiu, els països adherits es sotmeten a la decisió que adopti el Comitè DESC en supòsits de violacions dels drets reconeguts al PIDESC.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lastRenderedPageBreak/>
        <w:t xml:space="preserve">Per la seva banda, l’Observació General núm. 7 del Comitè de Drets Econòmics, Socials i Culturals incorpora com a contingut del dret a l’habitatge la protecció contra els desnonaments forçosos, introduint condicionants i límits; i l’obligació dels poders públics de garantir un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reallotjament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adequat de les persones en situació de vulnerabilitat.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Vuitè.-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El Dictamen del Comitè DESC de Nacions Unides, de data 20 de juny de 2017, Comunicació 5/2015, declara la vulneració del dret a l’habitatge, i condemna Espanya, per no impedir un desnonament sense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, dictamen vinculant que obliga a la suspensió del llançament.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La qüestió essencial que planteja la comunicació és si el desallotjament sense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suposa una violació del dret a un habitatge adequat.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El Dictamen del Comitè DESC resol aquest assumpte en el següent sentit: </w:t>
      </w: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“El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humano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es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constituye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base para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disfrute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económicos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sociales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culturales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(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Observación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núm. 4)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vinculado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integridad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otros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humanos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incluyendo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del Pacto Internacional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Civiles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Políticos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fueren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ingresos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acceso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recursos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económicos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partes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tomar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necesarias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lograr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plena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realización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este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hasta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máximo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recursos disponibles.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gozar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cierto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grado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seguridad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tenencia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garantice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legal contra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desahucio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hostigamiento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amenazas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Esta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garantía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 aplica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también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alquiladas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ya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públicas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privadas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desalojos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forzados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son “prima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facie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” incompatibles con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requisitos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sólo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podrán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justificarse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circunstancias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más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excepcionales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conformidad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con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principios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pertinentes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internacional (…)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No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haber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sin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recurso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y, por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partes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cuyo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pudiera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dispongan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recurso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apropiado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(...)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parte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sólo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tiene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obligación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respetar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por lo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abstenerse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infringirlos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sino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también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tiene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obligación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protegerlos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Si un Estado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parte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no toma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compromete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responsabilidad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incluso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si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origen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impulsada por un individuo o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entidad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privada (…).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”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En definitiva, d’acord amb el recent Dictamen no s’hauria d’executar un desnonament si els afectats es queden sense sostre, i encara menys quan la Llei 24/2015, de 29 de juliol, imposa l’obligació a les persones jurídiques de l’article 5, com és el present cas, de fer oferta de lloguer social al demandat com a mesura per a garantir el Dret a l’habitatge de persones en situació de vulnerabilitat, en congruència amb la normativa internacional i la carta magna.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Novè.-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En el mateix sentit, s’ha pronunciat el Tribunal Suprem en sentència de data 23 de novembre de 2017 sobre entrada a domicili i el “judici de proporcionalitat”, recollint la doctrina constitucional i del Tribunal Europeu de Drets Humans, en congruència amb els Tractats Internacionals en matèria de Drets Humans: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"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Procede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asimismo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poner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relieve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que, conforme a la consolidada doctrina del Tribunal Constitucional,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expuesta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50/1995, de 23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febrero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69/1999, </w:t>
      </w: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lastRenderedPageBreak/>
        <w:t xml:space="preserve">de 26 de abril y 188/2013, de 4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noviembre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resolución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por la que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entrada en un domicilio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estar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debidamente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motivada y,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consecuentemente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cumplir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garantía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inviolabilidad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domicilio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corresponde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de modo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comprobarse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se ha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entrada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efectuar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ponderación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distintos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intereses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adoptando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cautelas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precisa para que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limitación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misma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implica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efectúe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modo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menos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restrictivo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posible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Asimismo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refiere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el Tribunal Constitucional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citadas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"el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órgano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jurisdiccional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velar por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proporcionalidad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interesada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de modo tal que la entrada en el domicilio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absolutamente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indispensable para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ejecución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administrativo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Pues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será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este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juicio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proporcionalidad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- al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expresamente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remiten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nuestras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50/1995 y 69/1999, como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canon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enjuiciamiento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licitud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de entrada en el domicilio - en el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haberse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respetado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no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producirá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vulneración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."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Pel que s’acaba d’exposar,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AL JUTJAT SOL·LICITO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tingui per presentat aquest escrit i per fetes les manifestacions contingudes, l'admeti i: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1.- Procedeixi al preceptiu judici de proporcionalitat sobre les circumstàncies que concorren en aquest cas.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2.- </w:t>
      </w:r>
      <w:r w:rsidRPr="00E144E3">
        <w:rPr>
          <w:rFonts w:ascii="Arial" w:eastAsia="Times New Roman" w:hAnsi="Arial" w:cs="Arial"/>
          <w:color w:val="000000"/>
          <w:u w:val="single"/>
          <w:lang w:val="ca-ES" w:eastAsia="es-ES"/>
        </w:rPr>
        <w:t>Acordi la suspensió immediata del procediment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en curs fins que l'actora faci la imperativa oferta de lloguer social en els termes que estableix la Llei 24/2015, de 29 de juliol i les persones que habiten l'immoble tinguin garantida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ALTRESÍ DIC: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Que en el supòsit que Serveis Socials consideri que aquest escrit s’ha de presentar mitjançant advocat y procurador, em sigui notificada resolució, i es suspengui el procediment a efectes de sol·licitud de Justícia Gratuïta o presentació per lletrat d’ofici que em representi.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63BAE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Localitat i data</w:t>
      </w:r>
    </w:p>
    <w:sectPr w:rsidR="00263BAE" w:rsidRPr="00E14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E3"/>
    <w:rsid w:val="00263BAE"/>
    <w:rsid w:val="002B55A6"/>
    <w:rsid w:val="00673848"/>
    <w:rsid w:val="00B40D65"/>
    <w:rsid w:val="00CE5BD7"/>
    <w:rsid w:val="00D55D92"/>
    <w:rsid w:val="00E144E3"/>
    <w:rsid w:val="00E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D55F"/>
  <w15:chartTrackingRefBased/>
  <w15:docId w15:val="{613C3465-8C5F-4FA2-8AC0-6751DDB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2289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Incidencia</dc:creator>
  <cp:keywords/>
  <dc:description/>
  <cp:lastModifiedBy>Incidencia</cp:lastModifiedBy>
  <cp:revision>4</cp:revision>
  <dcterms:created xsi:type="dcterms:W3CDTF">2020-01-21T09:23:00Z</dcterms:created>
  <dcterms:modified xsi:type="dcterms:W3CDTF">2020-01-21T10:58:00Z</dcterms:modified>
</cp:coreProperties>
</file>