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Jutjat de Primera Instància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 xml:space="preserve"> núm. XX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de</w:t>
      </w:r>
      <w:r w:rsidRPr="00E144E3">
        <w:rPr>
          <w:rFonts w:ascii="Arial" w:eastAsia="Times New Roman" w:hAnsi="Arial" w:cs="Arial"/>
          <w:b/>
          <w:bCs/>
          <w:color w:val="0066FF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>Localitat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Judici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Número del Procediment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es-ES"/>
        </w:rPr>
        <w:t>AL JUTJAT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D2702D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B050"/>
          <w:lang w:val="ca-ES" w:eastAsia="es-ES"/>
        </w:rPr>
        <w:t>Nom afectat/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da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amb DNI </w:t>
      </w:r>
      <w:proofErr w:type="spellStart"/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xxxxxxx</w:t>
      </w:r>
      <w:proofErr w:type="spellEnd"/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en nom propi i dret, amb domicili a efectes de notificació a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carrer número pis 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C.P. XXXXX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>,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 localitat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davant el Jutjat comparec i com millor procedeixi en Dret, </w:t>
      </w:r>
      <w:r w:rsidR="00E144E3"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DIC: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29 de juliol de 2015, el Parlament de Catalunya va aprovar la Llei 24/2015, de de mesures urgents per a afrontar l'emergència en l'àmbit de l'habitatge i la pobresa energètica, publicada al Diari Oficial de la Generalitat de Catalunya el dia 5 d’agost de 2015. I actualment es troba en vigor després del desistiment parcial del recurs d’inconstitucionalitat núm. 2501-2016 acordat en el Consell de Ministres del 2 de novembre de 2018 i la seva publicació al BOE.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31 de desembre de 2019, va entrar en vigor el Decret llei 17/2019, de 23 de desembre, de mesures urgents per millorar l'accés a l'habitatge, que entre d’altres modifica la citada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Que mitjançant el present escrit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interessem la suspensió immediata de les presents actuacions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, en base als següents</w:t>
      </w: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FETS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Primer.- Situació d’emergència </w:t>
      </w:r>
      <w:proofErr w:type="spellStart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 de l’any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nostra residència habitual es troba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al pis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del carrer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localitat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Els ingressos familiars s’han vist greument afectats a causa de la prolongada crisi econòmica que viu el país, fet que ha impossibilitat a moltes persones accedir al mercat de l’habitatge, que pels seus elevats preus, exclou a grans capes de població d’aquesta opció.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En data </w:t>
      </w:r>
      <w:proofErr w:type="spellStart"/>
      <w:r w:rsidRPr="00E144E3">
        <w:rPr>
          <w:rFonts w:ascii="Arial" w:eastAsia="Times New Roman" w:hAnsi="Arial" w:cs="Arial"/>
          <w:color w:val="00B050"/>
          <w:lang w:val="ca-ES" w:eastAsia="es-ES"/>
        </w:rPr>
        <w:t>xxxxxx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em va ser notificada demanda de procediment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de desnonament per </w:t>
      </w:r>
      <w:r w:rsidR="00B10ABA">
        <w:rPr>
          <w:rFonts w:ascii="Arial" w:eastAsia="Times New Roman" w:hAnsi="Arial" w:cs="Arial"/>
          <w:color w:val="00B050"/>
          <w:lang w:val="ca-ES" w:eastAsia="es-ES"/>
        </w:rPr>
        <w:t xml:space="preserve">impagament de lloguer / finalització de contracte / per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precari</w:t>
      </w:r>
      <w:r w:rsidR="00B10ABA">
        <w:rPr>
          <w:rFonts w:ascii="Arial" w:eastAsia="Times New Roman" w:hAnsi="Arial" w:cs="Arial"/>
          <w:color w:val="00B050"/>
          <w:lang w:val="ca-ES" w:eastAsia="es-ES"/>
        </w:rPr>
        <w:t xml:space="preserve"> (triar-ne un)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instada per l’actora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(nom demandant)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. Com a conseqüència d’aquest procediment em va ser notificada diligència de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llançament senyalat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pel dia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XXX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Segon.- Situació de la unitat familiar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unitat familiar que habita l’habitatge està formada per: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(explicar qui integra la unitat familiar, indicar circumstàncies de salut i adjuntar documents)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família compta amb els següents ingressos mensuals per al seu manteniment: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(explicar situació laboral i ingressos de la unitat familiar)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lastRenderedPageBreak/>
        <w:t>Degut a la situació de vulnerabilitat acudeixen a Serveis Socials, qui ha emès Informe que acredita la situació de risc d’exclusió residencial d’acord amb l’article 10 de la Llei 24/2015. (document adjunt)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Tercer.- Dificultat d’accés a l’habitatge.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Amb una tendència creixent dels preus dels immobles, les condicions del mercat immobiliari impedeixen l’accés a l’habitatge de les persones en situació de vulnerabilitat. En aquest sentit, el preu del lloguer a Catalunya ha augmentat un 4,4% de mitja el 2019, d’acord amb les dades de la Secretaria d'Habitatge de la Generalitat (a partir de les fiances de lloguer dipositades a l'INCASÒL).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Tanmateix, Catalunya arrossega una històrica manca de polítiques d’habitatge, el que es tradueix amb un escàs parc públic d’habitatge, que no arriba al 2% del parc d’acord amb el Pla Territorial Sectorial d’Habitatge de la Generalitat, molt lluny de la mitjana dels països de l’entorn europeu. A la vegada que és manifestament insuficient per a fer front a l’emergència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viu Catalunya, el territori lidera un cop més el rànquing de la vergonya dels desnonaments, representant el 23,3% del total estatal el segon semestre del 2019, d’acord a les dades del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Consejo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General del Poder Judicial.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I com anteriorment s’ha manifestat, els ingressos familiars són insuficients per accedir a un habitatge en els actuals termes de mercat, pel que no disposa d’alternativa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FONAMENTS DE DRET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Primer.-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Llei 24/2015, del 29 de juliol, de mesures urgents per a afrontar l'emergència en l'àmbit de l'habitatge i la pobresa energètica, fruit de la mobilització de la ciutadania, contempla, entre d’altres, mesures per a evitar desnonaments i donar resposta a la greu i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cronificada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situació d'emergència social que viu Catalunya, especialment greu en l'àmbit de l'habitatge.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Després del desistiment parcial del recurs d’inconstitucionalitat núm. 2501-2016, acordat al Consell de Ministres de data 2 de novembre 2018 i la seva publicació al BOE, la citada llei és actualment vigent i d’obligada aplicació. A més, compta amb una important modificació introduïda pel Decret llei 17/2019, de 23 de desembre, de mesures urgents per millorar l'accés a l'habitatge.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Segon.- 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La llei de referència estableix, en el seu article 5.5, que les persones i unitats familiars en risc d’exclusió residencial que no puguin afrontar el pagament del lloguer de l’habitatge habitual tenen el dret a gaudir d’ajuts que evitin el llançament. I continua dient en els punt 6 del mateix article, que les administracions p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>ú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bliques, en qualsevol cas, han de garantir el </w:t>
      </w:r>
      <w:proofErr w:type="spellStart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reallotjament</w:t>
      </w:r>
      <w:proofErr w:type="spellEnd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 adequat de les persones i unitats familiars en situació de risc d’exclusió reside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>ncial que estiguin en procés d’é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sser desnonades del seu habitatge habitual.</w:t>
      </w:r>
    </w:p>
    <w:p w:rsidR="00B10ABA" w:rsidRDefault="00E144E3" w:rsidP="00E144E3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Tercer.-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>Tanmateix, la Disposició transitòria s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egona de la 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>Llei 24/2015 estableix que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 “</w:t>
      </w:r>
      <w:r w:rsidR="00B10ABA" w:rsidRPr="00B10ABA">
        <w:rPr>
          <w:rFonts w:ascii="Arial" w:eastAsia="Times New Roman" w:hAnsi="Arial" w:cs="Arial"/>
          <w:i/>
          <w:color w:val="000000"/>
          <w:lang w:val="ca-ES" w:eastAsia="es-ES"/>
        </w:rPr>
        <w:t>en els casos de procediments d’execució hipotecària o desnonament per impagament de lloguer que estiguin en tràmit de substanciació o d’execució en el moment d’entrada en vigor d’aquesta llei i que no estiguin inclosos en el supòsits a què fa referencia l’apartat 1, són aplicables les mesures establertes per l’article 5.6 i per l’article 7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>”. Es a dir, l’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Administració ha de garantir en qualsevol cas un </w:t>
      </w:r>
      <w:proofErr w:type="spellStart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reallotjament</w:t>
      </w:r>
      <w:proofErr w:type="spellEnd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 adequat a les persones 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 xml:space="preserve">que 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es trobi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>n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 dins 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>d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els p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 xml:space="preserve">aràmetres de risc residencial quan 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es doni la circumstància que 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lastRenderedPageBreak/>
        <w:t>la part actora no és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 un gran tenidor d'habitatge o una persona jurídica que ha adquirit habitatges després del 30 d'abril del 2008 provinents execucions hipotecàries o acords de compensació de deutes, de dacions en pagament o de compravendes que tinguin per causa la impossibilitat de tornar el préstec hi</w:t>
      </w:r>
      <w:r w:rsidR="00B10ABA">
        <w:rPr>
          <w:rFonts w:ascii="Arial" w:eastAsia="Times New Roman" w:hAnsi="Arial" w:cs="Arial"/>
          <w:color w:val="000000"/>
          <w:lang w:val="ca-ES" w:eastAsia="es-ES"/>
        </w:rPr>
        <w:t>potecari (ja que en aquest cas é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s la persona jurídica demandant qui ha de fer una oferta de lloguer social).</w:t>
      </w:r>
    </w:p>
    <w:p w:rsidR="00E144E3" w:rsidRPr="00E144E3" w:rsidRDefault="00B10ABA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bCs/>
          <w:color w:val="000000"/>
          <w:lang w:val="ca-ES" w:eastAsia="es-ES"/>
        </w:rPr>
        <w:t>Quart</w:t>
      </w:r>
      <w:r w:rsidR="00E144E3"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.- 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>L’article 47 de la Constitució (CE) reconeix expressament el dret a l’habitatge digne i adequat i el vincula a l’obligació dels poders públics d’impedir l’especulació. A la vegada, imposa els deure de garantir que el dret de propietat no s’exerceixi de manera antisocial en l’article 33, i subordina la riquesa a l’interès general en el seu article 128.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Si bé l’article 47 CE s’ubica al Capítol III del Títol I, “Dels principis Rectors de la Política Social Econòmica”, en la línia de la recent jurisprudència res impedeix reconèixer elements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fonamentalitat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ja que el dret a habitatge digne i adequat està en la norma de major rang en el nostre ordenament jurídic i definit en el Títol I: “De Drets i deures fonamentals”.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L’article 148.1.3 de la Constitució atorga a les comunitats autònomes la potestat d’assumir competències en matèria d’habitatge, que en el cas de Catalunya ha estat assumida la competència en l’article 137 de l’Estatut d’Autonomia.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I d’acord a l’article 5 de l’Estatut d’Autonomia totes les persones tenen dret a viure lliures de situacions d’explotació i maltractament, com de facto comporta la manca d’habitatge digne.</w:t>
      </w:r>
    </w:p>
    <w:p w:rsidR="00E144E3" w:rsidRPr="00E144E3" w:rsidRDefault="00B10ABA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bCs/>
          <w:color w:val="000000"/>
          <w:lang w:val="ca-ES" w:eastAsia="es-ES"/>
        </w:rPr>
        <w:t>Cinquè</w:t>
      </w:r>
      <w:r w:rsidR="00E144E3"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.-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 Els tractats internacionals en matèria de Drets Humans ratificats per Espanya formen part de l’ordenament intern, tal com estableix l’article 96.1 CE, i son, juntament amb la Declaració Universal de Drets Humans, un criteri decisiu per a la interpretació dels drets fonamentals i garanties reconegudes en la Constitució (article 10.2 CE). Segons estableix l’article 31 de la Llei 25/2014, de 27 de novembre, de Tractats i altres acords Internacional, en cas de conflicte o dubte interpretatiu amb una norma de dret intern, preval el Tractat internacional.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 Pacte Internacional de Drets Econòmics, Socials i Culturals (PIDESC), firmat per Espanya l’any 2008 i en vigor des de l’any 2013, reconeix el dret a l’habitatge digne en l’article 11; i en virtut del Protocol Facultatiu, els països adherits es sotmeten a la decisió que adopti el Comitè DESC en supòsits de violacions dels drets reconeguts al PIDESC.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Per la seva banda, l’Observació General núm. 7 del Comitè de Drets Econòmics, Socials i Culturals incorpora com a contingut del dret a l’habitatge la protecció contra els desnonaments forçosos, introduint condicionants i límits; i l’obligació dels poders públics de garantir un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reallotjament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adequat de les persones en situació de vulnerabilitat.</w:t>
      </w:r>
    </w:p>
    <w:p w:rsidR="00E144E3" w:rsidRPr="00E144E3" w:rsidRDefault="00B10ABA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bCs/>
          <w:color w:val="000000"/>
          <w:lang w:val="ca-ES" w:eastAsia="es-ES"/>
        </w:rPr>
        <w:t>Sisè</w:t>
      </w:r>
      <w:r w:rsidR="00E144E3"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.-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 El Dictamen del Comitè DESC de Nacions Unides, de data 20 de juny de 2017, Comunicació 5/2015, declara la vulneració del dret a l’habitatge, i condemna Espanya, per no impedir un desnonament sense alternativa </w:t>
      </w:r>
      <w:proofErr w:type="spellStart"/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>, dictamen vinculant que obliga a la suspensió del llançament.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La qüestió essencial que planteja la comunicació és si el desallotjament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suposa una violació del dret a un habitatge adequat.</w:t>
      </w:r>
    </w:p>
    <w:p w:rsidR="00E144E3" w:rsidRPr="00E144E3" w:rsidRDefault="00E144E3" w:rsidP="007315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El Dictamen del Comitè DESC resol aquest assumpte en el següent sentit: </w:t>
      </w: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“El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constituye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base para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disfrute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sociales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culturales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Observación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núm. 4)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vinculado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integridad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incluyendo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del </w:t>
      </w: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lastRenderedPageBreak/>
        <w:t xml:space="preserve">Pacto Internacional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Civiles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Políticos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fueren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ingresos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acceso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recursos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tomar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necesarias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lograr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plena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realización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máximo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recursos disponibles.</w:t>
      </w:r>
    </w:p>
    <w:p w:rsidR="00E144E3" w:rsidRPr="00E144E3" w:rsidRDefault="00E144E3" w:rsidP="007315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gozar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cierto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grado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seguridad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tenencia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garantice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legal contra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desahucio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hostigamiento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amenazas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Esta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aplica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alquiladas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ya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públicas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privadas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7315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desalojos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forzados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son “prima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facie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” incompatibles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requisitos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podrán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justificarse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circunstancias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excepcionales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conformidad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principios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pertinentes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internacional (…)</w:t>
      </w:r>
    </w:p>
    <w:p w:rsidR="00E144E3" w:rsidRPr="00E144E3" w:rsidRDefault="00E144E3" w:rsidP="007315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y, por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cuyo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pudiera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dispongan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apropiado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(...)</w:t>
      </w:r>
    </w:p>
    <w:p w:rsidR="00E144E3" w:rsidRPr="00E144E3" w:rsidRDefault="00E144E3" w:rsidP="007315D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por lo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abstenerse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infringirlos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protegerlos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Si un Estado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toma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compromete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responsabilidad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si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origen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impulsada por un individuo o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entidad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privada (…).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”</w:t>
      </w:r>
    </w:p>
    <w:p w:rsidR="00B10ABA" w:rsidRDefault="00B10ABA" w:rsidP="007315DB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B10ABA">
        <w:rPr>
          <w:rFonts w:ascii="Arial" w:eastAsia="Times New Roman" w:hAnsi="Arial" w:cs="Arial"/>
          <w:color w:val="000000"/>
          <w:lang w:val="ca-ES" w:eastAsia="es-ES"/>
        </w:rPr>
        <w:t>En definitiva, d’acord</w:t>
      </w:r>
      <w:r>
        <w:rPr>
          <w:rFonts w:ascii="Arial" w:eastAsia="Times New Roman" w:hAnsi="Arial" w:cs="Arial"/>
          <w:color w:val="000000"/>
          <w:lang w:val="ca-ES" w:eastAsia="es-ES"/>
        </w:rPr>
        <w:t xml:space="preserve"> amb</w:t>
      </w:r>
      <w:r w:rsidRPr="00B10ABA">
        <w:rPr>
          <w:rFonts w:ascii="Arial" w:eastAsia="Times New Roman" w:hAnsi="Arial" w:cs="Arial"/>
          <w:color w:val="000000"/>
          <w:lang w:val="ca-ES" w:eastAsia="es-ES"/>
        </w:rPr>
        <w:t xml:space="preserve"> el recent Dictamen, i la citada obligació que imposa a l</w:t>
      </w:r>
      <w:r>
        <w:rPr>
          <w:rFonts w:ascii="Arial" w:eastAsia="Times New Roman" w:hAnsi="Arial" w:cs="Arial"/>
          <w:color w:val="000000"/>
          <w:lang w:val="ca-ES" w:eastAsia="es-ES"/>
        </w:rPr>
        <w:t xml:space="preserve">’Administració la Llei 24/2015, </w:t>
      </w:r>
      <w:r w:rsidRPr="00B10ABA">
        <w:rPr>
          <w:rFonts w:ascii="Arial" w:eastAsia="Times New Roman" w:hAnsi="Arial" w:cs="Arial"/>
          <w:color w:val="000000"/>
          <w:lang w:val="ca-ES" w:eastAsia="es-ES"/>
        </w:rPr>
        <w:t>no s’hauria d’executar un desnonament si els afectats es queden sense sostre.</w:t>
      </w:r>
    </w:p>
    <w:p w:rsidR="00E144E3" w:rsidRPr="00E144E3" w:rsidRDefault="00B10ABA" w:rsidP="007315DB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bCs/>
          <w:color w:val="000000"/>
          <w:lang w:val="ca-ES" w:eastAsia="es-ES"/>
        </w:rPr>
        <w:t>Setè</w:t>
      </w:r>
      <w:r w:rsidR="00E144E3"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.-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 En el mateix sentit, s’ha pronunciat el Tribunal Suprem en sentència de data 23 de novembre de 2017 sobre entrada a domicili i el “judici de proporcionalitat”, recollint la doctrina constitucional i del Tribunal Europeu de Drets Humans, en congruència amb els Tractats Internacionals en matèria de Drets Humans:</w:t>
      </w:r>
    </w:p>
    <w:p w:rsidR="00E144E3" w:rsidRPr="00E144E3" w:rsidRDefault="00E144E3" w:rsidP="007315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"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Procede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relieve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que, conforme a la consolidada doctrina del Tribunal Constitucional,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expuesta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50/1995, de 23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febrero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69/1999, de 26 de abril y 188/2013, de 4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noviembre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resolución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por la que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en un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estar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debidamente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motivada y,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consecuentemente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cumplir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inviolabilidad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domicilio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corresponde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comprobarse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se ha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efectuar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ponderación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distintos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adoptando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cautelas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precisa para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limitación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misma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implica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efectúe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modo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restrictivo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posible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B10ABA" w:rsidRDefault="00E144E3" w:rsidP="007315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refiere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Tribunal Constitucional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citadas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"el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órgano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jurisdiccional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velar por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tal que la entrada en el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absolutamente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indispensable para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ejecución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administrativo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Pues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juicio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- al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expresamente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remiten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nuestras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 y 69/1999, como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canon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enjuiciamiento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licitud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de entrada en el domicilio - en el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no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producirá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vulneración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."</w:t>
      </w:r>
    </w:p>
    <w:p w:rsidR="00B10ABA" w:rsidRPr="00B10ABA" w:rsidRDefault="00B10ABA" w:rsidP="007315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B10ABA">
        <w:rPr>
          <w:rFonts w:ascii="Arial" w:eastAsia="Times New Roman" w:hAnsi="Arial" w:cs="Arial"/>
          <w:b/>
          <w:color w:val="000000"/>
          <w:lang w:val="ca-ES" w:eastAsia="es-ES"/>
        </w:rPr>
        <w:t>Vuitè</w:t>
      </w:r>
      <w:r w:rsidRPr="00B10ABA">
        <w:rPr>
          <w:rFonts w:ascii="Arial" w:eastAsia="Times New Roman" w:hAnsi="Arial" w:cs="Arial"/>
          <w:b/>
          <w:color w:val="000000"/>
          <w:lang w:val="ca-ES" w:eastAsia="es-ES"/>
        </w:rPr>
        <w:t>.-</w:t>
      </w:r>
      <w:r w:rsidRPr="00B10ABA">
        <w:rPr>
          <w:rFonts w:ascii="Arial" w:eastAsia="Times New Roman" w:hAnsi="Arial" w:cs="Arial"/>
          <w:color w:val="000000"/>
          <w:lang w:val="ca-ES" w:eastAsia="es-ES"/>
        </w:rPr>
        <w:t xml:space="preserve"> Que en nosalt</w:t>
      </w:r>
      <w:r>
        <w:rPr>
          <w:rFonts w:ascii="Arial" w:eastAsia="Times New Roman" w:hAnsi="Arial" w:cs="Arial"/>
          <w:color w:val="000000"/>
          <w:lang w:val="ca-ES" w:eastAsia="es-ES"/>
        </w:rPr>
        <w:t>res concorren la doble circumstà</w:t>
      </w:r>
      <w:r w:rsidRPr="00B10ABA">
        <w:rPr>
          <w:rFonts w:ascii="Arial" w:eastAsia="Times New Roman" w:hAnsi="Arial" w:cs="Arial"/>
          <w:color w:val="000000"/>
          <w:lang w:val="ca-ES" w:eastAsia="es-ES"/>
        </w:rPr>
        <w:t xml:space="preserve">ncia de no tenir alternativa </w:t>
      </w:r>
      <w:proofErr w:type="spellStart"/>
      <w:r w:rsidRPr="00B10ABA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B10ABA">
        <w:rPr>
          <w:rFonts w:ascii="Arial" w:eastAsia="Times New Roman" w:hAnsi="Arial" w:cs="Arial"/>
          <w:color w:val="000000"/>
          <w:lang w:val="ca-ES" w:eastAsia="es-ES"/>
        </w:rPr>
        <w:t xml:space="preserve"> pròpia i estar en situació de risc d’exclusió residencial. L’article 5.10 de la Llei 24/2015, del 29 de juliol defineix que es troben en risc d’exclusió residencial les persones o unitats familiars sempre que tinguin ingressos inferior a 2 vegades l’IRSC si </w:t>
      </w:r>
      <w:r w:rsidRPr="00B10ABA">
        <w:rPr>
          <w:rFonts w:ascii="Arial" w:eastAsia="Times New Roman" w:hAnsi="Arial" w:cs="Arial"/>
          <w:color w:val="000000"/>
          <w:lang w:val="ca-ES" w:eastAsia="es-ES"/>
        </w:rPr>
        <w:lastRenderedPageBreak/>
        <w:t>es tracta de persones que viuen soles</w:t>
      </w:r>
      <w:r>
        <w:rPr>
          <w:rFonts w:ascii="Arial" w:eastAsia="Times New Roman" w:hAnsi="Arial" w:cs="Arial"/>
          <w:color w:val="000000"/>
          <w:lang w:val="ca-ES" w:eastAsia="es-ES"/>
        </w:rPr>
        <w:t>;</w:t>
      </w:r>
      <w:r w:rsidRPr="00B10ABA">
        <w:rPr>
          <w:rFonts w:ascii="Arial" w:eastAsia="Times New Roman" w:hAnsi="Arial" w:cs="Arial"/>
          <w:color w:val="000000"/>
          <w:lang w:val="ca-ES" w:eastAsia="es-ES"/>
        </w:rPr>
        <w:t xml:space="preserve"> o si es tracta d’unitats de convivència, uns ingressos inferiors a 2,5 vegades l’IRSC</w:t>
      </w:r>
      <w:r w:rsidR="007315DB">
        <w:rPr>
          <w:rFonts w:ascii="Arial" w:eastAsia="Times New Roman" w:hAnsi="Arial" w:cs="Arial"/>
          <w:color w:val="000000"/>
          <w:lang w:val="ca-ES" w:eastAsia="es-ES"/>
        </w:rPr>
        <w:t>;</w:t>
      </w:r>
      <w:r w:rsidRPr="00B10ABA">
        <w:rPr>
          <w:rFonts w:ascii="Arial" w:eastAsia="Times New Roman" w:hAnsi="Arial" w:cs="Arial"/>
          <w:color w:val="000000"/>
          <w:lang w:val="ca-ES" w:eastAsia="es-ES"/>
        </w:rPr>
        <w:t xml:space="preserve"> i en els casos de persones amb discapacitats o amb gran dependència, uns ingressos inferiors a 3 vegades l’IRSC. </w:t>
      </w:r>
    </w:p>
    <w:p w:rsidR="007315DB" w:rsidRDefault="007315DB" w:rsidP="007315DB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</w:p>
    <w:p w:rsidR="00B10ABA" w:rsidRPr="00B10ABA" w:rsidRDefault="007315DB" w:rsidP="007315DB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7315DB">
        <w:rPr>
          <w:rFonts w:ascii="Arial" w:eastAsia="Times New Roman" w:hAnsi="Arial" w:cs="Arial"/>
          <w:b/>
          <w:color w:val="000000"/>
          <w:lang w:val="ca-ES" w:eastAsia="es-ES"/>
        </w:rPr>
        <w:t>Novè</w:t>
      </w:r>
      <w:r w:rsidR="00B10ABA" w:rsidRPr="007315DB">
        <w:rPr>
          <w:rFonts w:ascii="Arial" w:eastAsia="Times New Roman" w:hAnsi="Arial" w:cs="Arial"/>
          <w:b/>
          <w:color w:val="000000"/>
          <w:lang w:val="ca-ES" w:eastAsia="es-ES"/>
        </w:rPr>
        <w:t>.-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 Que hem iniciat tots els tràmits necessaris i sol·licitat els ajuts corresponents al nostre cas, i subsidiàriament un </w:t>
      </w:r>
      <w:proofErr w:type="spellStart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reallotjament</w:t>
      </w:r>
      <w:proofErr w:type="spellEnd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 adequat</w:t>
      </w:r>
      <w:r>
        <w:rPr>
          <w:rFonts w:ascii="Arial" w:eastAsia="Times New Roman" w:hAnsi="Arial" w:cs="Arial"/>
          <w:color w:val="000000"/>
          <w:lang w:val="ca-ES" w:eastAsia="es-ES"/>
        </w:rPr>
        <w:t>, atès l’</w:t>
      </w:r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imperatiu legal pel que l’Administració ha de </w:t>
      </w:r>
      <w:proofErr w:type="spellStart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reallotjar</w:t>
      </w:r>
      <w:proofErr w:type="spellEnd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 a les persones i unitats familiars en procés d’ésser desnonades de llur habitatge habitual i en risc d’exclusió residencial. En congruència amb aquesta obligació i les anteriors al·legacions, el principi de precaució, aconsella suspendre el procediment fins a poder trobar una alternativa </w:t>
      </w:r>
      <w:proofErr w:type="spellStart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="00B10ABA" w:rsidRPr="00B10ABA">
        <w:rPr>
          <w:rFonts w:ascii="Arial" w:eastAsia="Times New Roman" w:hAnsi="Arial" w:cs="Arial"/>
          <w:color w:val="000000"/>
          <w:lang w:val="ca-ES" w:eastAsia="es-ES"/>
        </w:rPr>
        <w:t xml:space="preserve"> per a la unitat familiar.</w:t>
      </w:r>
    </w:p>
    <w:p w:rsidR="00E144E3" w:rsidRPr="00E144E3" w:rsidRDefault="00E144E3" w:rsidP="00B10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Pel que s’acaba d’exposar,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AL JUTJAT SOL·LICITO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tingui per presentat aquest escrit i per fetes les manifestacions contingudes, l'admeti i:</w:t>
      </w:r>
    </w:p>
    <w:p w:rsidR="00E144E3" w:rsidRPr="00E144E3" w:rsidRDefault="00E144E3" w:rsidP="0073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7315DB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1.- Procedeixi al preceptiu judici de proporcionalitat sobre les circumstàncies que concorren en aquest cas.</w:t>
      </w:r>
    </w:p>
    <w:p w:rsidR="00E144E3" w:rsidRPr="00E144E3" w:rsidRDefault="007315DB" w:rsidP="0073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315DB">
        <w:rPr>
          <w:rFonts w:ascii="Arial" w:eastAsia="Times New Roman" w:hAnsi="Arial" w:cs="Arial"/>
          <w:color w:val="000000"/>
          <w:lang w:val="ca-ES" w:eastAsia="es-ES"/>
        </w:rPr>
        <w:t xml:space="preserve">2.- </w:t>
      </w:r>
      <w:r w:rsidRPr="007315DB">
        <w:rPr>
          <w:rFonts w:ascii="Arial" w:eastAsia="Times New Roman" w:hAnsi="Arial" w:cs="Arial"/>
          <w:color w:val="000000"/>
          <w:u w:val="single"/>
          <w:lang w:val="ca-ES" w:eastAsia="es-ES"/>
        </w:rPr>
        <w:t>Acordi la suspensió immediata del procediment</w:t>
      </w:r>
      <w:r w:rsidRPr="007315DB">
        <w:rPr>
          <w:rFonts w:ascii="Arial" w:eastAsia="Times New Roman" w:hAnsi="Arial" w:cs="Arial"/>
          <w:color w:val="000000"/>
          <w:lang w:val="ca-ES" w:eastAsia="es-ES"/>
        </w:rPr>
        <w:t xml:space="preserve"> atorgant el tem</w:t>
      </w:r>
      <w:r>
        <w:rPr>
          <w:rFonts w:ascii="Arial" w:eastAsia="Times New Roman" w:hAnsi="Arial" w:cs="Arial"/>
          <w:color w:val="000000"/>
          <w:lang w:val="ca-ES" w:eastAsia="es-ES"/>
        </w:rPr>
        <w:t>ps mínim necessari per a que l’A</w:t>
      </w:r>
      <w:r w:rsidRPr="007315DB">
        <w:rPr>
          <w:rFonts w:ascii="Arial" w:eastAsia="Times New Roman" w:hAnsi="Arial" w:cs="Arial"/>
          <w:color w:val="000000"/>
          <w:lang w:val="ca-ES" w:eastAsia="es-ES"/>
        </w:rPr>
        <w:t>dministració resolgui les sol·licituds presentades per a tenir un habitatge adequat.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ALTRESÍ DIC: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en el supòsit que Serveis Socials consideri que aquest escrit s’ha de presentar mitjançant advocat y procurador, em sigui notificada resolució, i es suspengui el procediment a efectes de sol·licitud de Justícia Gratuïta o presentació per lletrat d’ofici que em representi.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bookmarkStart w:id="0" w:name="_GoBack"/>
      <w:bookmarkEnd w:id="0"/>
    </w:p>
    <w:p w:rsidR="00263BAE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Localitat i data</w:t>
      </w:r>
    </w:p>
    <w:sectPr w:rsidR="00263BAE" w:rsidRPr="00E1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3"/>
    <w:rsid w:val="00263BAE"/>
    <w:rsid w:val="0072466C"/>
    <w:rsid w:val="007315DB"/>
    <w:rsid w:val="00B10ABA"/>
    <w:rsid w:val="00D2702D"/>
    <w:rsid w:val="00E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2305"/>
  <w15:chartTrackingRefBased/>
  <w15:docId w15:val="{613C3465-8C5F-4FA2-8AC0-6751DDB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2213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</dc:creator>
  <cp:keywords/>
  <dc:description/>
  <cp:lastModifiedBy>Incidencia</cp:lastModifiedBy>
  <cp:revision>2</cp:revision>
  <dcterms:created xsi:type="dcterms:W3CDTF">2020-01-21T12:19:00Z</dcterms:created>
  <dcterms:modified xsi:type="dcterms:W3CDTF">2020-01-21T12:19:00Z</dcterms:modified>
</cp:coreProperties>
</file>